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文件编号：WI-QC-003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最终检验作业指导书</w:t>
      </w:r>
    </w:p>
    <w:p/>
    <w:p>
      <w:pPr>
        <w:pStyle w:val="Heading1"/>
      </w:pPr>
      <w:r>
        <w:t>1. 目的</w:t>
      </w:r>
    </w:p>
    <w:p>
      <w:r>
        <w:t>规范最终检验操作，确保成品质量。</w:t>
      </w:r>
    </w:p>
    <w:p/>
    <w:p>
      <w:pPr>
        <w:pStyle w:val="Heading1"/>
      </w:pPr>
      <w:r>
        <w:t>2. 范围</w:t>
      </w:r>
    </w:p>
    <w:p>
      <w:r>
        <w:t>适用于所有成品的最终检验。</w:t>
      </w:r>
    </w:p>
    <w:p/>
    <w:p>
      <w:pPr>
        <w:pStyle w:val="Heading1"/>
      </w:pPr>
      <w:r>
        <w:t>3. 检验项目</w:t>
      </w:r>
    </w:p>
    <w:p>
      <w:pPr>
        <w:pStyle w:val="ListBullet"/>
      </w:pPr>
      <w:r>
        <w:t>外观检查：表面质量、颜色、标识</w:t>
      </w:r>
    </w:p>
    <w:p>
      <w:pPr>
        <w:pStyle w:val="ListBullet"/>
      </w:pPr>
      <w:r>
        <w:t>尺寸检查：关键尺寸全检</w:t>
      </w:r>
    </w:p>
    <w:p>
      <w:pPr>
        <w:pStyle w:val="ListBullet"/>
      </w:pPr>
      <w:r>
        <w:t>性能测试：功能、强度</w:t>
      </w:r>
    </w:p>
    <w:p>
      <w:pPr>
        <w:pStyle w:val="ListBullet"/>
      </w:pPr>
      <w:r>
        <w:t>包装检查：包装材料、标识</w:t>
      </w:r>
    </w:p>
    <w:p/>
    <w:p>
      <w:pPr>
        <w:pStyle w:val="Heading1"/>
      </w:pPr>
      <w:r>
        <w:t>4. 检验步骤</w:t>
      </w:r>
    </w:p>
    <w:p>
      <w:pPr>
        <w:pStyle w:val="ListBullet"/>
      </w:pPr>
      <w:r>
        <w:t>核对生产交接单</w:t>
      </w:r>
    </w:p>
    <w:p>
      <w:pPr>
        <w:pStyle w:val="ListBullet"/>
      </w:pPr>
      <w:r>
        <w:t>按检验规范检验</w:t>
      </w:r>
    </w:p>
    <w:p>
      <w:pPr>
        <w:pStyle w:val="ListBullet"/>
      </w:pPr>
      <w:r>
        <w:t>记录检验结果</w:t>
      </w:r>
    </w:p>
    <w:p>
      <w:pPr>
        <w:pStyle w:val="ListBullet"/>
      </w:pPr>
      <w:r>
        <w:t>判定合格与否</w:t>
      </w:r>
    </w:p>
    <w:p>
      <w:pPr>
        <w:pStyle w:val="ListBullet"/>
      </w:pPr>
      <w:r>
        <w:t>合格品贴合格证</w:t>
      </w:r>
    </w:p>
    <w:p>
      <w:pPr>
        <w:pStyle w:val="ListBullet"/>
      </w:pPr>
      <w:r>
        <w:t>不合格品隔离</w:t>
      </w:r>
    </w:p>
    <w:p/>
    <w:p>
      <w:pPr>
        <w:pStyle w:val="Heading1"/>
      </w:pPr>
      <w:r>
        <w:t>5. 抽样方案</w:t>
      </w:r>
    </w:p>
    <w:p>
      <w:r>
        <w:t>按 GB/T 2828.1，AQL=0.65。</w:t>
      </w:r>
    </w:p>
    <w:p/>
    <w:p>
      <w:pPr>
        <w:pStyle w:val="Heading1"/>
      </w:pPr>
      <w:r>
        <w:t>6. 放行</w:t>
      </w:r>
    </w:p>
    <w:p>
      <w:r>
        <w:t>检验合格后签发合格证，方可入库或出货。</w:t>
      </w:r>
    </w:p>
    <w:p/>
    <w:p>
      <w:pPr>
        <w:pStyle w:val="Heading1"/>
      </w:pPr>
      <w:r>
        <w:t>7. 记录</w:t>
      </w:r>
    </w:p>
    <w:p>
      <w:r>
        <w:t>填写《最终检验记录》（FM-096）、《合格证》（FM-097）。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